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74B1D" w:rsidRDefault="00374B1D" w:rsidP="00374B1D">
      <w:pPr>
        <w:tabs>
          <w:tab w:val="num" w:pos="720"/>
        </w:tabs>
        <w:spacing w:line="240" w:lineRule="auto"/>
        <w:rPr>
          <w:rFonts w:ascii="Arial" w:hAnsi="Arial" w:cs="Arial"/>
          <w:b/>
          <w:sz w:val="28"/>
          <w:szCs w:val="24"/>
        </w:rPr>
      </w:pPr>
      <w:r>
        <w:rPr>
          <w:rFonts w:ascii="Arial" w:hAnsi="Arial" w:cs="Arial"/>
          <w:b/>
          <w:sz w:val="28"/>
          <w:szCs w:val="24"/>
        </w:rPr>
        <w:t>Purpose</w:t>
      </w:r>
    </w:p>
    <w:p w:rsidR="00796D45" w:rsidRDefault="00796D45" w:rsidP="00374B1D">
      <w:pPr>
        <w:tabs>
          <w:tab w:val="num" w:pos="720"/>
        </w:tabs>
        <w:spacing w:line="240" w:lineRule="auto"/>
        <w:rPr>
          <w:rFonts w:ascii="Arial" w:hAnsi="Arial" w:cs="Arial"/>
          <w:b/>
          <w:sz w:val="28"/>
          <w:szCs w:val="24"/>
        </w:rPr>
      </w:pPr>
      <w:r w:rsidRPr="00796D45">
        <w:rPr>
          <w:rFonts w:ascii="Times New Roman" w:hAnsi="Times New Roman" w:cs="Times New Roman"/>
          <w:color w:val="000000"/>
          <w:sz w:val="24"/>
          <w:szCs w:val="24"/>
          <w:shd w:val="clear" w:color="auto" w:fill="FFFFFF"/>
        </w:rPr>
        <w:t>To remove calcium salts from bone or other calcified tissue while preserving the cellular and organic components.  Without the removal of these salts microtomy is virtually impossible using standard microtomy procedures resulting in torn, compressed, and ragged sections.  Decalcification does not remove bone rather the process removes the inorganic components that make up bone.  The majority of inorganic components are calcium salts, which consist mainly of calcium phosphate (85%) and calcium carbonate (10%).  Although other forms of decalcification are available we use simple acid methods to dissolve these calcium salts</w:t>
      </w:r>
      <w:r>
        <w:rPr>
          <w:rFonts w:ascii="Arial" w:hAnsi="Arial" w:cs="Arial"/>
          <w:color w:val="000000"/>
          <w:sz w:val="18"/>
          <w:szCs w:val="18"/>
          <w:shd w:val="clear" w:color="auto" w:fill="FFFFFF"/>
        </w:rPr>
        <w:t>.</w:t>
      </w:r>
    </w:p>
    <w:p w:rsidR="00EF3E82" w:rsidRDefault="002C700E" w:rsidP="00EF3E82">
      <w:pPr>
        <w:tabs>
          <w:tab w:val="num" w:pos="720"/>
        </w:tabs>
        <w:spacing w:line="240" w:lineRule="auto"/>
        <w:rPr>
          <w:rFonts w:ascii="Arial" w:hAnsi="Arial" w:cs="Arial"/>
          <w:b/>
          <w:sz w:val="28"/>
          <w:szCs w:val="24"/>
        </w:rPr>
      </w:pPr>
      <w:r>
        <w:rPr>
          <w:rFonts w:ascii="Arial" w:hAnsi="Arial" w:cs="Arial"/>
          <w:b/>
          <w:sz w:val="28"/>
          <w:szCs w:val="24"/>
        </w:rPr>
        <w:t>P</w:t>
      </w:r>
      <w:r w:rsidR="00301DAA" w:rsidRPr="008A43BF">
        <w:rPr>
          <w:rFonts w:ascii="Arial" w:hAnsi="Arial" w:cs="Arial"/>
          <w:b/>
          <w:sz w:val="28"/>
          <w:szCs w:val="24"/>
        </w:rPr>
        <w:t>rocedure</w:t>
      </w:r>
    </w:p>
    <w:p w:rsidR="00796D45" w:rsidRPr="0084533E" w:rsidRDefault="00796D45" w:rsidP="00796D45">
      <w:pPr>
        <w:pStyle w:val="NormalWeb"/>
        <w:shd w:val="clear" w:color="auto" w:fill="FFFFFF"/>
        <w:rPr>
          <w:color w:val="000000"/>
        </w:rPr>
      </w:pPr>
      <w:r w:rsidRPr="0084533E">
        <w:rPr>
          <w:rStyle w:val="Strong"/>
          <w:color w:val="000000"/>
        </w:rPr>
        <w:t>Sections submitted for histology: </w:t>
      </w:r>
    </w:p>
    <w:p w:rsidR="00796D45" w:rsidRPr="0084533E" w:rsidRDefault="00796D45" w:rsidP="00796D45">
      <w:pPr>
        <w:pStyle w:val="NormalWeb"/>
        <w:shd w:val="clear" w:color="auto" w:fill="FFFFFF"/>
        <w:rPr>
          <w:color w:val="000000"/>
        </w:rPr>
      </w:pPr>
      <w:r w:rsidRPr="0084533E">
        <w:rPr>
          <w:color w:val="000000"/>
        </w:rPr>
        <w:t>3 to 5 mm in thickness, overall size and volume not as critical as thickness of the sample. However, the bone or tissue in the cassette should not touch more than one side.</w:t>
      </w:r>
    </w:p>
    <w:p w:rsidR="00796D45" w:rsidRPr="0084533E" w:rsidRDefault="00796D45" w:rsidP="00796D45">
      <w:pPr>
        <w:pStyle w:val="NormalWeb"/>
        <w:shd w:val="clear" w:color="auto" w:fill="FFFFFF"/>
        <w:rPr>
          <w:color w:val="000000"/>
        </w:rPr>
      </w:pPr>
      <w:r w:rsidRPr="0084533E">
        <w:rPr>
          <w:rStyle w:val="Strong"/>
          <w:color w:val="000000"/>
        </w:rPr>
        <w:t>Types of Bone and Tissue for Decalcifiation:</w:t>
      </w:r>
    </w:p>
    <w:p w:rsidR="00796D45" w:rsidRPr="0084533E" w:rsidRDefault="00796D45" w:rsidP="00796D45">
      <w:pPr>
        <w:pStyle w:val="NormalWeb"/>
        <w:shd w:val="clear" w:color="auto" w:fill="FFFFFF"/>
        <w:rPr>
          <w:color w:val="000000"/>
        </w:rPr>
      </w:pPr>
      <w:r w:rsidRPr="0084533E">
        <w:rPr>
          <w:rStyle w:val="Emphasis"/>
          <w:color w:val="000000"/>
        </w:rPr>
        <w:t>Cortical Bone:</w:t>
      </w:r>
      <w:r w:rsidRPr="0084533E">
        <w:rPr>
          <w:rStyle w:val="apple-converted-space"/>
          <w:color w:val="000000"/>
        </w:rPr>
        <w:t> </w:t>
      </w:r>
      <w:r w:rsidRPr="0084533E">
        <w:rPr>
          <w:color w:val="000000"/>
        </w:rPr>
        <w:t>Dense compact bone sections appear solid except for microscopic spaces (ex. skull, pelvis, mandible).  Takes a very long time to decalcify.</w:t>
      </w:r>
    </w:p>
    <w:p w:rsidR="00796D45" w:rsidRPr="0084533E" w:rsidRDefault="00796D45" w:rsidP="00796D45">
      <w:pPr>
        <w:pStyle w:val="NormalWeb"/>
        <w:shd w:val="clear" w:color="auto" w:fill="FFFFFF"/>
        <w:rPr>
          <w:color w:val="000000"/>
        </w:rPr>
      </w:pPr>
      <w:r w:rsidRPr="0084533E">
        <w:rPr>
          <w:rStyle w:val="Emphasis"/>
          <w:color w:val="000000"/>
        </w:rPr>
        <w:t>Cancellous Bone:</w:t>
      </w:r>
      <w:r w:rsidRPr="0084533E">
        <w:rPr>
          <w:rStyle w:val="apple-converted-space"/>
          <w:color w:val="000000"/>
        </w:rPr>
        <w:t> </w:t>
      </w:r>
      <w:r w:rsidRPr="0084533E">
        <w:rPr>
          <w:color w:val="000000"/>
        </w:rPr>
        <w:t>Spongy bone which consists of slender irregular trabeculae, which branch and unite to form a meshwork creating spaces which are filled with bone marrow (ex. tibia, femur, etc.)</w:t>
      </w:r>
    </w:p>
    <w:p w:rsidR="00796D45" w:rsidRPr="0084533E" w:rsidRDefault="00796D45" w:rsidP="00796D45">
      <w:pPr>
        <w:pStyle w:val="NormalWeb"/>
        <w:shd w:val="clear" w:color="auto" w:fill="FFFFFF"/>
        <w:rPr>
          <w:color w:val="000000"/>
        </w:rPr>
      </w:pPr>
      <w:r w:rsidRPr="0084533E">
        <w:rPr>
          <w:rStyle w:val="Emphasis"/>
          <w:color w:val="000000"/>
        </w:rPr>
        <w:t>Bone Marrow:</w:t>
      </w:r>
      <w:r w:rsidRPr="0084533E">
        <w:rPr>
          <w:rStyle w:val="apple-converted-space"/>
          <w:color w:val="000000"/>
        </w:rPr>
        <w:t> </w:t>
      </w:r>
      <w:r w:rsidR="0093562C">
        <w:rPr>
          <w:color w:val="000000"/>
        </w:rPr>
        <w:t>May or may not need decalc</w:t>
      </w:r>
      <w:r w:rsidRPr="0084533E">
        <w:rPr>
          <w:color w:val="000000"/>
        </w:rPr>
        <w:t>ification.</w:t>
      </w:r>
    </w:p>
    <w:p w:rsidR="00796D45" w:rsidRPr="0084533E" w:rsidRDefault="00796D45" w:rsidP="00796D45">
      <w:pPr>
        <w:pStyle w:val="NormalWeb"/>
        <w:shd w:val="clear" w:color="auto" w:fill="FFFFFF"/>
        <w:rPr>
          <w:color w:val="000000"/>
        </w:rPr>
      </w:pPr>
      <w:r w:rsidRPr="0084533E">
        <w:rPr>
          <w:rStyle w:val="Emphasis"/>
          <w:color w:val="000000"/>
        </w:rPr>
        <w:t>Tissue</w:t>
      </w:r>
      <w:r w:rsidRPr="0084533E">
        <w:rPr>
          <w:color w:val="000000"/>
        </w:rPr>
        <w:t>: Certain tissues tend to calcify (i.e. Thyroid nodules, Leiomyomas, etc.) requring them to undero the decalcification process for proper processing.</w:t>
      </w:r>
    </w:p>
    <w:p w:rsidR="00796D45" w:rsidRPr="0084533E" w:rsidRDefault="00796D45" w:rsidP="00796D45">
      <w:pPr>
        <w:pStyle w:val="NormalWeb"/>
        <w:shd w:val="clear" w:color="auto" w:fill="FFFFFF"/>
        <w:rPr>
          <w:color w:val="000000"/>
        </w:rPr>
      </w:pPr>
      <w:r w:rsidRPr="0084533E">
        <w:rPr>
          <w:rStyle w:val="Strong"/>
          <w:color w:val="000000"/>
        </w:rPr>
        <w:t>Fixation: </w:t>
      </w:r>
    </w:p>
    <w:p w:rsidR="00796D45" w:rsidRPr="0084533E" w:rsidRDefault="00796D45" w:rsidP="00796D45">
      <w:pPr>
        <w:pStyle w:val="NormalWeb"/>
        <w:shd w:val="clear" w:color="auto" w:fill="FFFFFF"/>
        <w:rPr>
          <w:color w:val="000000"/>
        </w:rPr>
      </w:pPr>
      <w:r w:rsidRPr="0084533E">
        <w:rPr>
          <w:color w:val="000000"/>
        </w:rPr>
        <w:t>Prevent autolysis and putrefaction, basically to stop the decomposition process.  Most important step in preparing any specimen for the RDO process is fixation.  Fixation prior to decalcification is critical since the acid in the decal solution will destroy the cellular morphology of unfixed tissue. Fixation for bone or tissue for the Cal-ex process is not needed as Cal-ex already contains formalin.</w:t>
      </w:r>
    </w:p>
    <w:p w:rsidR="00796D45" w:rsidRPr="0084533E" w:rsidRDefault="00796D45" w:rsidP="00796D45">
      <w:pPr>
        <w:pStyle w:val="NormalWeb"/>
        <w:shd w:val="clear" w:color="auto" w:fill="FFFFFF"/>
        <w:rPr>
          <w:color w:val="000000"/>
        </w:rPr>
      </w:pPr>
      <w:r w:rsidRPr="0084533E">
        <w:rPr>
          <w:rStyle w:val="Strong"/>
          <w:color w:val="000000"/>
        </w:rPr>
        <w:lastRenderedPageBreak/>
        <w:t>Types of Decal Solutions:</w:t>
      </w:r>
    </w:p>
    <w:p w:rsidR="00796D45" w:rsidRPr="0084533E" w:rsidRDefault="00796D45" w:rsidP="00796D45">
      <w:pPr>
        <w:pStyle w:val="NormalWeb"/>
        <w:shd w:val="clear" w:color="auto" w:fill="FFFFFF"/>
        <w:rPr>
          <w:color w:val="000000"/>
        </w:rPr>
      </w:pPr>
      <w:r w:rsidRPr="0093562C">
        <w:rPr>
          <w:rStyle w:val="Emphasis"/>
          <w:color w:val="000000"/>
          <w:u w:val="single"/>
        </w:rPr>
        <w:t>Formic acid (Cal-Ex):</w:t>
      </w:r>
      <w:r w:rsidR="0093562C">
        <w:rPr>
          <w:rStyle w:val="Emphasis"/>
          <w:color w:val="000000"/>
        </w:rPr>
        <w:t xml:space="preserve"> Used on both compact and cancellous bone including soft tissue containing calcifications.</w:t>
      </w:r>
    </w:p>
    <w:p w:rsidR="00796D45" w:rsidRPr="0084533E" w:rsidRDefault="00796D45" w:rsidP="00796D45">
      <w:pPr>
        <w:pStyle w:val="NormalWeb"/>
        <w:shd w:val="clear" w:color="auto" w:fill="FFFFFF"/>
        <w:rPr>
          <w:color w:val="000000"/>
        </w:rPr>
      </w:pPr>
      <w:r w:rsidRPr="0084533E">
        <w:rPr>
          <w:color w:val="000000"/>
        </w:rPr>
        <w:t>     Advantages:</w:t>
      </w:r>
    </w:p>
    <w:p w:rsidR="00796D45" w:rsidRPr="0084533E" w:rsidRDefault="00796D45" w:rsidP="00796D45">
      <w:pPr>
        <w:pStyle w:val="NormalWeb"/>
        <w:numPr>
          <w:ilvl w:val="0"/>
          <w:numId w:val="22"/>
        </w:numPr>
        <w:shd w:val="clear" w:color="auto" w:fill="FFFFFF"/>
        <w:rPr>
          <w:color w:val="000000"/>
        </w:rPr>
      </w:pPr>
      <w:r w:rsidRPr="0084533E">
        <w:rPr>
          <w:color w:val="000000"/>
        </w:rPr>
        <w:t>Allows crisp staining including immunohistochemistry</w:t>
      </w:r>
    </w:p>
    <w:p w:rsidR="00796D45" w:rsidRPr="0084533E" w:rsidRDefault="00796D45" w:rsidP="00796D45">
      <w:pPr>
        <w:pStyle w:val="NormalWeb"/>
        <w:numPr>
          <w:ilvl w:val="0"/>
          <w:numId w:val="22"/>
        </w:numPr>
        <w:shd w:val="clear" w:color="auto" w:fill="FFFFFF"/>
        <w:rPr>
          <w:color w:val="000000"/>
        </w:rPr>
      </w:pPr>
      <w:r w:rsidRPr="0084533E">
        <w:rPr>
          <w:color w:val="000000"/>
        </w:rPr>
        <w:t>Contains formalin so that tissue is fixed and decaled simultaneously</w:t>
      </w:r>
    </w:p>
    <w:p w:rsidR="00796D45" w:rsidRPr="0084533E" w:rsidRDefault="00796D45" w:rsidP="00796D45">
      <w:pPr>
        <w:pStyle w:val="NormalWeb"/>
        <w:numPr>
          <w:ilvl w:val="0"/>
          <w:numId w:val="22"/>
        </w:numPr>
        <w:shd w:val="clear" w:color="auto" w:fill="FFFFFF"/>
        <w:rPr>
          <w:color w:val="000000"/>
        </w:rPr>
      </w:pPr>
      <w:r w:rsidRPr="0084533E">
        <w:rPr>
          <w:color w:val="000000"/>
        </w:rPr>
        <w:t>Safer to use than RDO</w:t>
      </w:r>
    </w:p>
    <w:p w:rsidR="00796D45" w:rsidRPr="0084533E" w:rsidRDefault="00796D45" w:rsidP="00796D45">
      <w:pPr>
        <w:pStyle w:val="NormalWeb"/>
        <w:numPr>
          <w:ilvl w:val="0"/>
          <w:numId w:val="22"/>
        </w:numPr>
        <w:shd w:val="clear" w:color="auto" w:fill="FFFFFF"/>
        <w:rPr>
          <w:color w:val="000000"/>
        </w:rPr>
      </w:pPr>
      <w:r w:rsidRPr="0084533E">
        <w:rPr>
          <w:color w:val="000000"/>
        </w:rPr>
        <w:t>Does not impair nuclear staining</w:t>
      </w:r>
    </w:p>
    <w:p w:rsidR="00796D45" w:rsidRPr="0084533E" w:rsidRDefault="00796D45" w:rsidP="00796D45">
      <w:pPr>
        <w:pStyle w:val="NormalWeb"/>
        <w:shd w:val="clear" w:color="auto" w:fill="FFFFFF"/>
        <w:rPr>
          <w:color w:val="000000"/>
        </w:rPr>
      </w:pPr>
      <w:r w:rsidRPr="0084533E">
        <w:rPr>
          <w:color w:val="000000"/>
        </w:rPr>
        <w:t>     Disadvantages:</w:t>
      </w:r>
    </w:p>
    <w:p w:rsidR="00796D45" w:rsidRDefault="00796D45" w:rsidP="00796D45">
      <w:pPr>
        <w:pStyle w:val="NormalWeb"/>
        <w:numPr>
          <w:ilvl w:val="0"/>
          <w:numId w:val="23"/>
        </w:numPr>
        <w:shd w:val="clear" w:color="auto" w:fill="FFFFFF"/>
        <w:rPr>
          <w:color w:val="000000"/>
        </w:rPr>
      </w:pPr>
      <w:r w:rsidRPr="0084533E">
        <w:rPr>
          <w:color w:val="000000"/>
        </w:rPr>
        <w:t>Slower than RDO</w:t>
      </w:r>
    </w:p>
    <w:p w:rsidR="008914D2" w:rsidRDefault="008914D2" w:rsidP="008914D2">
      <w:pPr>
        <w:pStyle w:val="NormalWeb"/>
        <w:shd w:val="clear" w:color="auto" w:fill="FFFFFF"/>
        <w:rPr>
          <w:i/>
          <w:color w:val="000000"/>
        </w:rPr>
      </w:pPr>
      <w:r w:rsidRPr="0093562C">
        <w:rPr>
          <w:i/>
          <w:color w:val="000000"/>
          <w:u w:val="single"/>
        </w:rPr>
        <w:t>Formic acid and EDTA</w:t>
      </w:r>
      <w:r w:rsidRPr="0093562C">
        <w:rPr>
          <w:color w:val="000000"/>
          <w:u w:val="single"/>
        </w:rPr>
        <w:t xml:space="preserve"> </w:t>
      </w:r>
      <w:r w:rsidRPr="0093562C">
        <w:rPr>
          <w:i/>
          <w:color w:val="000000"/>
          <w:u w:val="single"/>
        </w:rPr>
        <w:t>(Formical 2000</w:t>
      </w:r>
      <w:r w:rsidRPr="008914D2">
        <w:rPr>
          <w:i/>
          <w:color w:val="000000"/>
        </w:rPr>
        <w:t>)</w:t>
      </w:r>
      <w:r>
        <w:rPr>
          <w:i/>
          <w:color w:val="000000"/>
        </w:rPr>
        <w:t>:</w:t>
      </w:r>
      <w:r w:rsidR="0093562C">
        <w:rPr>
          <w:i/>
          <w:color w:val="000000"/>
        </w:rPr>
        <w:t xml:space="preserve"> Used exclusively on bone marrow biopsies</w:t>
      </w:r>
    </w:p>
    <w:p w:rsidR="008914D2" w:rsidRDefault="008914D2" w:rsidP="008914D2">
      <w:pPr>
        <w:pStyle w:val="NormalWeb"/>
        <w:shd w:val="clear" w:color="auto" w:fill="FFFFFF"/>
        <w:rPr>
          <w:color w:val="000000"/>
        </w:rPr>
      </w:pPr>
      <w:r>
        <w:rPr>
          <w:i/>
          <w:color w:val="000000"/>
        </w:rPr>
        <w:tab/>
      </w:r>
      <w:r>
        <w:rPr>
          <w:color w:val="000000"/>
        </w:rPr>
        <w:t>Advantages:</w:t>
      </w:r>
    </w:p>
    <w:p w:rsidR="008914D2" w:rsidRPr="0084533E" w:rsidRDefault="008914D2" w:rsidP="008914D2">
      <w:pPr>
        <w:pStyle w:val="NormalWeb"/>
        <w:numPr>
          <w:ilvl w:val="0"/>
          <w:numId w:val="26"/>
        </w:numPr>
        <w:shd w:val="clear" w:color="auto" w:fill="FFFFFF"/>
        <w:rPr>
          <w:color w:val="000000"/>
        </w:rPr>
      </w:pPr>
      <w:r w:rsidRPr="0084533E">
        <w:rPr>
          <w:color w:val="000000"/>
        </w:rPr>
        <w:t>Contains formalin so that tissue is fixed and decaled simultaneously</w:t>
      </w:r>
    </w:p>
    <w:p w:rsidR="008914D2" w:rsidRDefault="008914D2" w:rsidP="008914D2">
      <w:pPr>
        <w:pStyle w:val="NormalWeb"/>
        <w:numPr>
          <w:ilvl w:val="0"/>
          <w:numId w:val="26"/>
        </w:numPr>
        <w:shd w:val="clear" w:color="auto" w:fill="FFFFFF"/>
        <w:rPr>
          <w:color w:val="000000"/>
        </w:rPr>
      </w:pPr>
      <w:r>
        <w:rPr>
          <w:color w:val="000000"/>
        </w:rPr>
        <w:t>Works especially well for tissue needing immunohistochemistry</w:t>
      </w:r>
    </w:p>
    <w:p w:rsidR="008914D2" w:rsidRDefault="008914D2" w:rsidP="008914D2">
      <w:pPr>
        <w:pStyle w:val="NormalWeb"/>
        <w:numPr>
          <w:ilvl w:val="0"/>
          <w:numId w:val="26"/>
        </w:numPr>
        <w:shd w:val="clear" w:color="auto" w:fill="FFFFFF"/>
        <w:rPr>
          <w:color w:val="000000"/>
        </w:rPr>
      </w:pPr>
      <w:r>
        <w:rPr>
          <w:color w:val="000000"/>
        </w:rPr>
        <w:t>Will not destroy antigen sites on tissue</w:t>
      </w:r>
    </w:p>
    <w:p w:rsidR="008914D2" w:rsidRPr="008914D2" w:rsidRDefault="008914D2" w:rsidP="008914D2">
      <w:pPr>
        <w:pStyle w:val="NormalWeb"/>
        <w:numPr>
          <w:ilvl w:val="0"/>
          <w:numId w:val="26"/>
        </w:numPr>
        <w:shd w:val="clear" w:color="auto" w:fill="FFFFFF"/>
        <w:rPr>
          <w:color w:val="000000"/>
        </w:rPr>
      </w:pPr>
      <w:r>
        <w:rPr>
          <w:color w:val="000000"/>
        </w:rPr>
        <w:t>Safer to use than RDO</w:t>
      </w:r>
    </w:p>
    <w:p w:rsidR="008914D2" w:rsidRPr="0084533E" w:rsidRDefault="008914D2" w:rsidP="008914D2">
      <w:pPr>
        <w:pStyle w:val="NormalWeb"/>
        <w:shd w:val="clear" w:color="auto" w:fill="FFFFFF"/>
        <w:rPr>
          <w:color w:val="000000"/>
        </w:rPr>
      </w:pPr>
      <w:r>
        <w:rPr>
          <w:color w:val="000000"/>
        </w:rPr>
        <w:tab/>
      </w:r>
      <w:r w:rsidRPr="0084533E">
        <w:rPr>
          <w:color w:val="000000"/>
        </w:rPr>
        <w:t>Disadvantages:</w:t>
      </w:r>
    </w:p>
    <w:p w:rsidR="008914D2" w:rsidRDefault="008914D2" w:rsidP="008914D2">
      <w:pPr>
        <w:pStyle w:val="NormalWeb"/>
        <w:numPr>
          <w:ilvl w:val="0"/>
          <w:numId w:val="23"/>
        </w:numPr>
        <w:shd w:val="clear" w:color="auto" w:fill="FFFFFF"/>
        <w:rPr>
          <w:color w:val="000000"/>
        </w:rPr>
      </w:pPr>
      <w:r w:rsidRPr="0084533E">
        <w:rPr>
          <w:color w:val="000000"/>
        </w:rPr>
        <w:t>Slower than RDO</w:t>
      </w:r>
    </w:p>
    <w:p w:rsidR="00796D45" w:rsidRPr="0084533E" w:rsidRDefault="00796D45" w:rsidP="00796D45">
      <w:pPr>
        <w:pStyle w:val="NormalWeb"/>
        <w:shd w:val="clear" w:color="auto" w:fill="FFFFFF"/>
        <w:rPr>
          <w:color w:val="000000"/>
        </w:rPr>
      </w:pPr>
      <w:r w:rsidRPr="0093562C">
        <w:rPr>
          <w:rStyle w:val="Emphasis"/>
          <w:color w:val="000000"/>
          <w:u w:val="single"/>
        </w:rPr>
        <w:t>Hydrochloric acid (RDO):</w:t>
      </w:r>
      <w:r w:rsidR="0093562C" w:rsidRPr="0093562C">
        <w:rPr>
          <w:rStyle w:val="Emphasis"/>
          <w:color w:val="000000"/>
          <w:u w:val="single"/>
        </w:rPr>
        <w:t xml:space="preserve"> </w:t>
      </w:r>
      <w:r w:rsidR="0093562C">
        <w:rPr>
          <w:rStyle w:val="Emphasis"/>
          <w:color w:val="000000"/>
        </w:rPr>
        <w:t>Used on mainly compact bone</w:t>
      </w:r>
    </w:p>
    <w:p w:rsidR="00796D45" w:rsidRPr="0084533E" w:rsidRDefault="00796D45" w:rsidP="00796D45">
      <w:pPr>
        <w:pStyle w:val="NormalWeb"/>
        <w:shd w:val="clear" w:color="auto" w:fill="FFFFFF"/>
        <w:rPr>
          <w:color w:val="000000"/>
        </w:rPr>
      </w:pPr>
      <w:r w:rsidRPr="0084533E">
        <w:rPr>
          <w:color w:val="000000"/>
        </w:rPr>
        <w:t>     Advantages:</w:t>
      </w:r>
    </w:p>
    <w:p w:rsidR="00796D45" w:rsidRPr="0084533E" w:rsidRDefault="00796D45" w:rsidP="00796D45">
      <w:pPr>
        <w:pStyle w:val="NormalWeb"/>
        <w:numPr>
          <w:ilvl w:val="0"/>
          <w:numId w:val="24"/>
        </w:numPr>
        <w:shd w:val="clear" w:color="auto" w:fill="FFFFFF"/>
        <w:rPr>
          <w:color w:val="000000"/>
        </w:rPr>
      </w:pPr>
      <w:r w:rsidRPr="0084533E">
        <w:rPr>
          <w:color w:val="000000"/>
        </w:rPr>
        <w:t xml:space="preserve">Acts rapidly </w:t>
      </w:r>
    </w:p>
    <w:p w:rsidR="00796D45" w:rsidRPr="0084533E" w:rsidRDefault="00796D45" w:rsidP="00796D45">
      <w:pPr>
        <w:pStyle w:val="NormalWeb"/>
        <w:shd w:val="clear" w:color="auto" w:fill="FFFFFF"/>
        <w:rPr>
          <w:color w:val="000000"/>
        </w:rPr>
      </w:pPr>
      <w:r w:rsidRPr="0084533E">
        <w:rPr>
          <w:color w:val="000000"/>
        </w:rPr>
        <w:t>     Disadvantages:</w:t>
      </w:r>
    </w:p>
    <w:p w:rsidR="00796D45" w:rsidRPr="0084533E" w:rsidRDefault="00796D45" w:rsidP="00796D45">
      <w:pPr>
        <w:pStyle w:val="NormalWeb"/>
        <w:numPr>
          <w:ilvl w:val="0"/>
          <w:numId w:val="25"/>
        </w:numPr>
        <w:shd w:val="clear" w:color="auto" w:fill="FFFFFF"/>
        <w:rPr>
          <w:color w:val="000000"/>
        </w:rPr>
      </w:pPr>
      <w:r w:rsidRPr="0084533E">
        <w:rPr>
          <w:color w:val="000000"/>
        </w:rPr>
        <w:t>Tissues should be</w:t>
      </w:r>
      <w:r w:rsidRPr="0084533E">
        <w:rPr>
          <w:rStyle w:val="apple-converted-space"/>
          <w:color w:val="000000"/>
        </w:rPr>
        <w:t> </w:t>
      </w:r>
      <w:r w:rsidRPr="0084533E">
        <w:rPr>
          <w:rStyle w:val="Strong"/>
          <w:color w:val="000000"/>
        </w:rPr>
        <w:t>thoroughly</w:t>
      </w:r>
      <w:r w:rsidRPr="0084533E">
        <w:rPr>
          <w:rStyle w:val="apple-converted-space"/>
          <w:color w:val="000000"/>
        </w:rPr>
        <w:t> </w:t>
      </w:r>
      <w:r w:rsidRPr="0084533E">
        <w:rPr>
          <w:color w:val="000000"/>
        </w:rPr>
        <w:t>fixed at least 12-24 hours in formalin before using RDO.</w:t>
      </w:r>
    </w:p>
    <w:p w:rsidR="00796D45" w:rsidRPr="0084533E" w:rsidRDefault="00796D45" w:rsidP="00796D45">
      <w:pPr>
        <w:pStyle w:val="NormalWeb"/>
        <w:numPr>
          <w:ilvl w:val="0"/>
          <w:numId w:val="25"/>
        </w:numPr>
        <w:shd w:val="clear" w:color="auto" w:fill="FFFFFF"/>
        <w:rPr>
          <w:color w:val="000000"/>
        </w:rPr>
      </w:pPr>
      <w:r w:rsidRPr="0084533E">
        <w:rPr>
          <w:color w:val="000000"/>
        </w:rPr>
        <w:t>Thorough washing of the tissue between formalin containing fixatives and RDO treatment is critical since formalin and hydrochloric acid combined together give off a carcinogenic gas, namely bischloromethyl ether.</w:t>
      </w:r>
    </w:p>
    <w:p w:rsidR="00796D45" w:rsidRPr="0084533E" w:rsidRDefault="00796D45" w:rsidP="00796D45">
      <w:pPr>
        <w:pStyle w:val="NormalWeb"/>
        <w:numPr>
          <w:ilvl w:val="0"/>
          <w:numId w:val="25"/>
        </w:numPr>
        <w:shd w:val="clear" w:color="auto" w:fill="FFFFFF"/>
        <w:rPr>
          <w:color w:val="000000"/>
        </w:rPr>
      </w:pPr>
      <w:r w:rsidRPr="0084533E">
        <w:rPr>
          <w:color w:val="000000"/>
        </w:rPr>
        <w:t>Overexposure can result in poor histological detail/artifacts (swelling, fragmentation, and poor nuclear staining).</w:t>
      </w:r>
    </w:p>
    <w:p w:rsidR="00796D45" w:rsidRDefault="00796D45" w:rsidP="00796D45">
      <w:pPr>
        <w:pStyle w:val="NormalWeb"/>
        <w:numPr>
          <w:ilvl w:val="0"/>
          <w:numId w:val="25"/>
        </w:numPr>
        <w:shd w:val="clear" w:color="auto" w:fill="FFFFFF"/>
        <w:rPr>
          <w:color w:val="000000"/>
        </w:rPr>
      </w:pPr>
      <w:r w:rsidRPr="0084533E">
        <w:rPr>
          <w:color w:val="000000"/>
        </w:rPr>
        <w:t>Irreversibly corrodes aluminum, nickel and some stainless steel equipment (metal forceps, countertops).</w:t>
      </w:r>
    </w:p>
    <w:p w:rsidR="00615280" w:rsidRDefault="00615280" w:rsidP="0093562C">
      <w:pPr>
        <w:pStyle w:val="NormalWeb"/>
        <w:shd w:val="clear" w:color="auto" w:fill="FFFFFF"/>
        <w:rPr>
          <w:b/>
          <w:color w:val="000000"/>
        </w:rPr>
      </w:pPr>
    </w:p>
    <w:p w:rsidR="0093562C" w:rsidRPr="0093562C" w:rsidRDefault="0093562C" w:rsidP="0093562C">
      <w:pPr>
        <w:pStyle w:val="NormalWeb"/>
        <w:shd w:val="clear" w:color="auto" w:fill="FFFFFF"/>
        <w:rPr>
          <w:b/>
          <w:color w:val="000000"/>
        </w:rPr>
      </w:pPr>
      <w:r w:rsidRPr="0093562C">
        <w:rPr>
          <w:b/>
          <w:color w:val="000000"/>
        </w:rPr>
        <w:lastRenderedPageBreak/>
        <w:t>Decalcification</w:t>
      </w:r>
      <w:r>
        <w:rPr>
          <w:b/>
          <w:color w:val="000000"/>
        </w:rPr>
        <w:t xml:space="preserve"> Process:</w:t>
      </w:r>
    </w:p>
    <w:p w:rsidR="00796D45" w:rsidRPr="0084533E" w:rsidRDefault="00796D45" w:rsidP="00796D45">
      <w:pPr>
        <w:pStyle w:val="NormalWeb"/>
        <w:shd w:val="clear" w:color="auto" w:fill="FFFFFF"/>
        <w:rPr>
          <w:color w:val="000000"/>
        </w:rPr>
      </w:pPr>
      <w:r w:rsidRPr="0084533E">
        <w:rPr>
          <w:rStyle w:val="Strong"/>
          <w:color w:val="000000"/>
        </w:rPr>
        <w:t>Amount of fluid needed for proper decalcification (</w:t>
      </w:r>
      <w:r w:rsidR="0093562C">
        <w:rPr>
          <w:rStyle w:val="Strong"/>
          <w:color w:val="000000"/>
        </w:rPr>
        <w:t>Cal-ex, Formical 2000 and RDO</w:t>
      </w:r>
      <w:r w:rsidRPr="0084533E">
        <w:rPr>
          <w:rStyle w:val="Strong"/>
          <w:color w:val="000000"/>
        </w:rPr>
        <w:t>): </w:t>
      </w:r>
    </w:p>
    <w:p w:rsidR="00796D45" w:rsidRPr="0084533E" w:rsidRDefault="00796D45" w:rsidP="00796D45">
      <w:pPr>
        <w:pStyle w:val="NormalWeb"/>
        <w:shd w:val="clear" w:color="auto" w:fill="FFFFFF"/>
        <w:rPr>
          <w:color w:val="000000"/>
        </w:rPr>
      </w:pPr>
      <w:r w:rsidRPr="0084533E">
        <w:rPr>
          <w:color w:val="000000"/>
        </w:rPr>
        <w:t> *10 to 20 times the volume of tissue.</w:t>
      </w:r>
    </w:p>
    <w:p w:rsidR="00445F56" w:rsidRDefault="00796D45" w:rsidP="0084533E">
      <w:pPr>
        <w:pStyle w:val="NormalWeb"/>
        <w:shd w:val="clear" w:color="auto" w:fill="FFFFFF"/>
        <w:rPr>
          <w:color w:val="000000"/>
        </w:rPr>
      </w:pPr>
      <w:r w:rsidRPr="0084533E">
        <w:rPr>
          <w:color w:val="000000"/>
        </w:rPr>
        <w:t>The large amount of volume is necessary since the mineral content of a good sized piece of bone will soon neutralize the small amount of acid present in the solution.  As the pH of the solution rises becoming saturated with calcium ions, it almost forms a barrier to further decalcification the transport of calcium into the solution is decreased so agitation and the frequent changing of the decal solution is necessary.  Fresh solution contacting the specimen surface promotes faster penetra</w:t>
      </w:r>
      <w:r w:rsidR="0084533E">
        <w:rPr>
          <w:color w:val="000000"/>
        </w:rPr>
        <w:t>tion of the decalcifying fluid.</w:t>
      </w:r>
    </w:p>
    <w:p w:rsidR="007B6F70" w:rsidRDefault="007B6F70" w:rsidP="0084533E">
      <w:pPr>
        <w:pStyle w:val="NormalWeb"/>
        <w:shd w:val="clear" w:color="auto" w:fill="FFFFFF"/>
        <w:rPr>
          <w:color w:val="000000"/>
        </w:rPr>
      </w:pPr>
      <w:r>
        <w:rPr>
          <w:color w:val="000000"/>
        </w:rPr>
        <w:t>Decalcification time for Formical 2000 is standard at 2 hours and 15 min. Decalcification time for Cal-ex and RDO will vary significantly based on bone type</w:t>
      </w:r>
      <w:r w:rsidR="00B35E16">
        <w:rPr>
          <w:color w:val="000000"/>
        </w:rPr>
        <w:t xml:space="preserve">, tumor, site of resection, etc. Specimens in Cal-ex will generally be ready anywhere from 12-24 hours. Specimens in RDO should be checked every 1-2 hours. </w:t>
      </w:r>
    </w:p>
    <w:p w:rsidR="00B35E16" w:rsidRPr="00E318CC" w:rsidRDefault="00B35E16" w:rsidP="0084533E">
      <w:pPr>
        <w:pStyle w:val="NormalWeb"/>
        <w:shd w:val="clear" w:color="auto" w:fill="FFFFFF"/>
        <w:rPr>
          <w:color w:val="000000"/>
        </w:rPr>
      </w:pPr>
      <w:r>
        <w:rPr>
          <w:color w:val="000000"/>
        </w:rPr>
        <w:t xml:space="preserve">For specimens being taken out of </w:t>
      </w:r>
      <w:r w:rsidRPr="00615280">
        <w:rPr>
          <w:b/>
          <w:color w:val="000000"/>
          <w:u w:val="single"/>
        </w:rPr>
        <w:t>all</w:t>
      </w:r>
      <w:r>
        <w:rPr>
          <w:color w:val="000000"/>
        </w:rPr>
        <w:t xml:space="preserve"> decalcifiers, rinse thoroughly for 10 minutes under running water before placing in formalin processing rack.</w:t>
      </w:r>
    </w:p>
    <w:sectPr w:rsidR="00B35E16" w:rsidRPr="00E318CC"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D45" w:rsidRDefault="00796D45" w:rsidP="00C84ED3">
      <w:pPr>
        <w:spacing w:after="0" w:line="240" w:lineRule="auto"/>
      </w:pPr>
      <w:r>
        <w:separator/>
      </w:r>
    </w:p>
  </w:endnote>
  <w:endnote w:type="continuationSeparator" w:id="0">
    <w:p w:rsidR="00796D45" w:rsidRDefault="00796D45"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04" w:rsidRDefault="004F7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04" w:rsidRDefault="004F7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04" w:rsidRDefault="004F7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D45" w:rsidRDefault="00796D45" w:rsidP="00C84ED3">
      <w:pPr>
        <w:spacing w:after="0" w:line="240" w:lineRule="auto"/>
      </w:pPr>
      <w:r>
        <w:separator/>
      </w:r>
    </w:p>
  </w:footnote>
  <w:footnote w:type="continuationSeparator" w:id="0">
    <w:p w:rsidR="00796D45" w:rsidRDefault="00796D45"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04" w:rsidRDefault="004F7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45" w:rsidRPr="00E872E3" w:rsidRDefault="00796D45"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4F7104">
      <w:rPr>
        <w:rFonts w:ascii="Arial" w:hAnsi="Arial" w:cs="Arial"/>
        <w:noProof/>
        <w:sz w:val="28"/>
      </w:rPr>
      <w:t>3</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4F7104">
      <w:rPr>
        <w:rFonts w:ascii="Arial" w:hAnsi="Arial" w:cs="Arial"/>
        <w:noProof/>
        <w:sz w:val="28"/>
      </w:rPr>
      <w:t>3</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45" w:rsidRDefault="004F7104"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52849932" wp14:editId="43F5FB77">
          <wp:simplePos x="0" y="0"/>
          <wp:positionH relativeFrom="column">
            <wp:posOffset>-581025</wp:posOffset>
          </wp:positionH>
          <wp:positionV relativeFrom="paragraph">
            <wp:posOffset>274955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796D45">
      <w:tab/>
    </w:r>
    <w:r w:rsidR="00796D45">
      <w:tab/>
    </w:r>
    <w:bookmarkStart w:id="0" w:name="_GoBack"/>
    <w:bookmarkEnd w:id="0"/>
  </w:p>
  <w:p w:rsidR="00796D45" w:rsidRDefault="00796D45" w:rsidP="00E872E3">
    <w:pPr>
      <w:pStyle w:val="Header"/>
      <w:tabs>
        <w:tab w:val="clear" w:pos="4680"/>
        <w:tab w:val="left" w:pos="1719"/>
        <w:tab w:val="left" w:pos="2948"/>
        <w:tab w:val="left" w:pos="7091"/>
        <w:tab w:val="left" w:pos="9360"/>
      </w:tabs>
      <w:ind w:left="-1260"/>
    </w:pPr>
  </w:p>
  <w:p w:rsidR="00796D45" w:rsidRDefault="00796D45"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3129907B" wp14:editId="229881F9">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D45" w:rsidRPr="00E872E3" w:rsidRDefault="00796D45"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796D45" w:rsidRPr="00E872E3" w:rsidRDefault="00796D45" w:rsidP="007D0814">
                          <w:pPr>
                            <w:jc w:val="center"/>
                            <w:rPr>
                              <w:rFonts w:ascii="Arial" w:hAnsi="Arial" w:cs="Arial"/>
                              <w:sz w:val="28"/>
                              <w:szCs w:val="28"/>
                            </w:rPr>
                          </w:pPr>
                          <w:r>
                            <w:rPr>
                              <w:rFonts w:ascii="Arial" w:hAnsi="Arial" w:cs="Arial"/>
                              <w:sz w:val="28"/>
                              <w:szCs w:val="28"/>
                            </w:rPr>
                            <w:t>Decalcification Overview</w:t>
                          </w:r>
                        </w:p>
                        <w:p w:rsidR="00796D45" w:rsidRPr="00BE30D9" w:rsidRDefault="00796D45"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9907B"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796D45" w:rsidRPr="00E872E3" w:rsidRDefault="00796D45"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796D45" w:rsidRPr="00E872E3" w:rsidRDefault="00796D45" w:rsidP="007D0814">
                    <w:pPr>
                      <w:jc w:val="center"/>
                      <w:rPr>
                        <w:rFonts w:ascii="Arial" w:hAnsi="Arial" w:cs="Arial"/>
                        <w:sz w:val="28"/>
                        <w:szCs w:val="28"/>
                      </w:rPr>
                    </w:pPr>
                    <w:r>
                      <w:rPr>
                        <w:rFonts w:ascii="Arial" w:hAnsi="Arial" w:cs="Arial"/>
                        <w:sz w:val="28"/>
                        <w:szCs w:val="28"/>
                      </w:rPr>
                      <w:t>Decalcification Overview</w:t>
                    </w:r>
                  </w:p>
                  <w:p w:rsidR="00796D45" w:rsidRPr="00BE30D9" w:rsidRDefault="00796D45"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796D45" w:rsidRDefault="00796D45" w:rsidP="00E872E3">
    <w:pPr>
      <w:pStyle w:val="Header"/>
      <w:tabs>
        <w:tab w:val="clear" w:pos="4680"/>
        <w:tab w:val="left" w:pos="1719"/>
        <w:tab w:val="left" w:pos="2948"/>
        <w:tab w:val="left" w:pos="7091"/>
        <w:tab w:val="left" w:pos="9360"/>
      </w:tabs>
      <w:ind w:left="-1260"/>
    </w:pPr>
  </w:p>
  <w:p w:rsidR="00796D45" w:rsidRDefault="00796D45" w:rsidP="00E872E3">
    <w:pPr>
      <w:pStyle w:val="Header"/>
      <w:tabs>
        <w:tab w:val="clear" w:pos="4680"/>
        <w:tab w:val="left" w:pos="1719"/>
        <w:tab w:val="left" w:pos="2948"/>
        <w:tab w:val="left" w:pos="7091"/>
        <w:tab w:val="left" w:pos="9360"/>
      </w:tabs>
      <w:ind w:left="-1260"/>
    </w:pPr>
  </w:p>
  <w:p w:rsidR="00796D45" w:rsidRDefault="00796D45" w:rsidP="00E872E3">
    <w:pPr>
      <w:pStyle w:val="Header"/>
      <w:tabs>
        <w:tab w:val="clear" w:pos="4680"/>
        <w:tab w:val="left" w:pos="1719"/>
        <w:tab w:val="left" w:pos="2948"/>
        <w:tab w:val="left" w:pos="7091"/>
        <w:tab w:val="left" w:pos="9360"/>
      </w:tabs>
      <w:ind w:left="-1260"/>
    </w:pPr>
  </w:p>
  <w:p w:rsidR="00796D45" w:rsidRDefault="00796D45" w:rsidP="00E872E3">
    <w:pPr>
      <w:pStyle w:val="Header"/>
      <w:tabs>
        <w:tab w:val="clear" w:pos="4680"/>
        <w:tab w:val="left" w:pos="1719"/>
        <w:tab w:val="left" w:pos="2948"/>
        <w:tab w:val="left" w:pos="7091"/>
        <w:tab w:val="left" w:pos="9360"/>
      </w:tabs>
      <w:ind w:left="-1260"/>
    </w:pPr>
  </w:p>
  <w:p w:rsidR="00796D45" w:rsidRPr="00E872E3" w:rsidRDefault="00796D45"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4F7104">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4F7104">
      <w:rPr>
        <w:rFonts w:ascii="Arial" w:hAnsi="Arial" w:cs="Arial"/>
        <w:noProof/>
        <w:sz w:val="28"/>
      </w:rPr>
      <w:t>3</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2238"/>
    <w:multiLevelType w:val="hybridMultilevel"/>
    <w:tmpl w:val="CAC6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D004E"/>
    <w:multiLevelType w:val="hybridMultilevel"/>
    <w:tmpl w:val="A592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B15AD"/>
    <w:multiLevelType w:val="multilevel"/>
    <w:tmpl w:val="A73A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D291B"/>
    <w:multiLevelType w:val="multilevel"/>
    <w:tmpl w:val="6918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F5595"/>
    <w:multiLevelType w:val="hybridMultilevel"/>
    <w:tmpl w:val="F258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12B5E"/>
    <w:multiLevelType w:val="multilevel"/>
    <w:tmpl w:val="E8B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10049"/>
    <w:multiLevelType w:val="hybridMultilevel"/>
    <w:tmpl w:val="2C20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43B55"/>
    <w:multiLevelType w:val="hybridMultilevel"/>
    <w:tmpl w:val="6530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560E2"/>
    <w:multiLevelType w:val="multilevel"/>
    <w:tmpl w:val="1926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0CEF"/>
    <w:multiLevelType w:val="multilevel"/>
    <w:tmpl w:val="C26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178E5"/>
    <w:multiLevelType w:val="multilevel"/>
    <w:tmpl w:val="72D8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91C80"/>
    <w:multiLevelType w:val="hybridMultilevel"/>
    <w:tmpl w:val="203E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04C4A"/>
    <w:multiLevelType w:val="multilevel"/>
    <w:tmpl w:val="0298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E626A"/>
    <w:multiLevelType w:val="hybridMultilevel"/>
    <w:tmpl w:val="9520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86F7B"/>
    <w:multiLevelType w:val="hybridMultilevel"/>
    <w:tmpl w:val="BA80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DA0D28"/>
    <w:multiLevelType w:val="multilevel"/>
    <w:tmpl w:val="CA0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07C88"/>
    <w:multiLevelType w:val="hybridMultilevel"/>
    <w:tmpl w:val="83F8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E2973"/>
    <w:multiLevelType w:val="hybridMultilevel"/>
    <w:tmpl w:val="C01E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0698A"/>
    <w:multiLevelType w:val="multilevel"/>
    <w:tmpl w:val="5E44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97F08"/>
    <w:multiLevelType w:val="hybridMultilevel"/>
    <w:tmpl w:val="3C1C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982421"/>
    <w:multiLevelType w:val="hybridMultilevel"/>
    <w:tmpl w:val="801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55FCF"/>
    <w:multiLevelType w:val="hybridMultilevel"/>
    <w:tmpl w:val="C93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3324E"/>
    <w:multiLevelType w:val="hybridMultilevel"/>
    <w:tmpl w:val="305C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4585A"/>
    <w:multiLevelType w:val="multilevel"/>
    <w:tmpl w:val="8E7CB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6849BB"/>
    <w:multiLevelType w:val="hybridMultilevel"/>
    <w:tmpl w:val="BA8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25804"/>
    <w:multiLevelType w:val="multilevel"/>
    <w:tmpl w:val="D680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1"/>
  </w:num>
  <w:num w:numId="4">
    <w:abstractNumId w:val="16"/>
  </w:num>
  <w:num w:numId="5">
    <w:abstractNumId w:val="24"/>
  </w:num>
  <w:num w:numId="6">
    <w:abstractNumId w:val="22"/>
  </w:num>
  <w:num w:numId="7">
    <w:abstractNumId w:val="17"/>
  </w:num>
  <w:num w:numId="8">
    <w:abstractNumId w:val="20"/>
  </w:num>
  <w:num w:numId="9">
    <w:abstractNumId w:val="0"/>
  </w:num>
  <w:num w:numId="10">
    <w:abstractNumId w:val="25"/>
  </w:num>
  <w:num w:numId="11">
    <w:abstractNumId w:val="12"/>
  </w:num>
  <w:num w:numId="12">
    <w:abstractNumId w:val="15"/>
  </w:num>
  <w:num w:numId="13">
    <w:abstractNumId w:val="18"/>
  </w:num>
  <w:num w:numId="14">
    <w:abstractNumId w:val="9"/>
  </w:num>
  <w:num w:numId="15">
    <w:abstractNumId w:val="3"/>
  </w:num>
  <w:num w:numId="16">
    <w:abstractNumId w:val="19"/>
  </w:num>
  <w:num w:numId="17">
    <w:abstractNumId w:val="13"/>
  </w:num>
  <w:num w:numId="18">
    <w:abstractNumId w:val="21"/>
  </w:num>
  <w:num w:numId="19">
    <w:abstractNumId w:val="23"/>
  </w:num>
  <w:num w:numId="20">
    <w:abstractNumId w:val="6"/>
  </w:num>
  <w:num w:numId="21">
    <w:abstractNumId w:val="14"/>
  </w:num>
  <w:num w:numId="22">
    <w:abstractNumId w:val="10"/>
  </w:num>
  <w:num w:numId="23">
    <w:abstractNumId w:val="8"/>
  </w:num>
  <w:num w:numId="24">
    <w:abstractNumId w:val="5"/>
  </w:num>
  <w:num w:numId="25">
    <w:abstractNumId w:val="2"/>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B3EC7"/>
    <w:rsid w:val="000D6344"/>
    <w:rsid w:val="00171E4F"/>
    <w:rsid w:val="00194457"/>
    <w:rsid w:val="00204271"/>
    <w:rsid w:val="002451EE"/>
    <w:rsid w:val="002569CA"/>
    <w:rsid w:val="00283BF5"/>
    <w:rsid w:val="002943AA"/>
    <w:rsid w:val="002C700E"/>
    <w:rsid w:val="002D29C8"/>
    <w:rsid w:val="00301DAA"/>
    <w:rsid w:val="00317C1B"/>
    <w:rsid w:val="00321CC5"/>
    <w:rsid w:val="00333417"/>
    <w:rsid w:val="00374B1D"/>
    <w:rsid w:val="003A244C"/>
    <w:rsid w:val="003B476A"/>
    <w:rsid w:val="003C1EF8"/>
    <w:rsid w:val="003C25FB"/>
    <w:rsid w:val="003E0F68"/>
    <w:rsid w:val="00445F56"/>
    <w:rsid w:val="00446221"/>
    <w:rsid w:val="004A5F43"/>
    <w:rsid w:val="004F7104"/>
    <w:rsid w:val="00551728"/>
    <w:rsid w:val="005B15B5"/>
    <w:rsid w:val="005C5A68"/>
    <w:rsid w:val="00615280"/>
    <w:rsid w:val="00624EF3"/>
    <w:rsid w:val="00665E28"/>
    <w:rsid w:val="006825CB"/>
    <w:rsid w:val="006F6DCE"/>
    <w:rsid w:val="00796D45"/>
    <w:rsid w:val="007B25FF"/>
    <w:rsid w:val="007B6F70"/>
    <w:rsid w:val="007D0814"/>
    <w:rsid w:val="00811CEE"/>
    <w:rsid w:val="00837F2E"/>
    <w:rsid w:val="00840125"/>
    <w:rsid w:val="0084533E"/>
    <w:rsid w:val="00881728"/>
    <w:rsid w:val="008914D2"/>
    <w:rsid w:val="008A43BF"/>
    <w:rsid w:val="008A55B9"/>
    <w:rsid w:val="008D351E"/>
    <w:rsid w:val="008D382A"/>
    <w:rsid w:val="008F49AE"/>
    <w:rsid w:val="00906C53"/>
    <w:rsid w:val="00927848"/>
    <w:rsid w:val="0093562C"/>
    <w:rsid w:val="00950234"/>
    <w:rsid w:val="00955374"/>
    <w:rsid w:val="0096388F"/>
    <w:rsid w:val="009648D8"/>
    <w:rsid w:val="009C2CD1"/>
    <w:rsid w:val="009F1F7E"/>
    <w:rsid w:val="009F442C"/>
    <w:rsid w:val="009F5470"/>
    <w:rsid w:val="00A03C07"/>
    <w:rsid w:val="00AC202D"/>
    <w:rsid w:val="00AD154F"/>
    <w:rsid w:val="00AE367E"/>
    <w:rsid w:val="00B013D3"/>
    <w:rsid w:val="00B35E16"/>
    <w:rsid w:val="00B50DE6"/>
    <w:rsid w:val="00B612BD"/>
    <w:rsid w:val="00B62B1D"/>
    <w:rsid w:val="00B90A51"/>
    <w:rsid w:val="00B96C63"/>
    <w:rsid w:val="00BA4C99"/>
    <w:rsid w:val="00BA588D"/>
    <w:rsid w:val="00BE30D9"/>
    <w:rsid w:val="00BF1046"/>
    <w:rsid w:val="00C27511"/>
    <w:rsid w:val="00C84ED3"/>
    <w:rsid w:val="00D357D6"/>
    <w:rsid w:val="00D4158B"/>
    <w:rsid w:val="00D81746"/>
    <w:rsid w:val="00DA6CC9"/>
    <w:rsid w:val="00DF4FFC"/>
    <w:rsid w:val="00E03C5B"/>
    <w:rsid w:val="00E044B1"/>
    <w:rsid w:val="00E05C0F"/>
    <w:rsid w:val="00E318CC"/>
    <w:rsid w:val="00E323C2"/>
    <w:rsid w:val="00E32F71"/>
    <w:rsid w:val="00E47039"/>
    <w:rsid w:val="00E872E3"/>
    <w:rsid w:val="00E91223"/>
    <w:rsid w:val="00ED4620"/>
    <w:rsid w:val="00EF3E82"/>
    <w:rsid w:val="00F035FF"/>
    <w:rsid w:val="00F23896"/>
    <w:rsid w:val="00F26230"/>
    <w:rsid w:val="00F4142A"/>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2DE22EB-FE51-428E-AA38-30B191F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68">
      <w:bodyDiv w:val="1"/>
      <w:marLeft w:val="0"/>
      <w:marRight w:val="0"/>
      <w:marTop w:val="0"/>
      <w:marBottom w:val="0"/>
      <w:divBdr>
        <w:top w:val="none" w:sz="0" w:space="0" w:color="auto"/>
        <w:left w:val="none" w:sz="0" w:space="0" w:color="auto"/>
        <w:bottom w:val="none" w:sz="0" w:space="0" w:color="auto"/>
        <w:right w:val="none" w:sz="0" w:space="0" w:color="auto"/>
      </w:divBdr>
    </w:div>
    <w:div w:id="21521965">
      <w:bodyDiv w:val="1"/>
      <w:marLeft w:val="0"/>
      <w:marRight w:val="0"/>
      <w:marTop w:val="0"/>
      <w:marBottom w:val="0"/>
      <w:divBdr>
        <w:top w:val="none" w:sz="0" w:space="0" w:color="auto"/>
        <w:left w:val="none" w:sz="0" w:space="0" w:color="auto"/>
        <w:bottom w:val="none" w:sz="0" w:space="0" w:color="auto"/>
        <w:right w:val="none" w:sz="0" w:space="0" w:color="auto"/>
      </w:divBdr>
    </w:div>
    <w:div w:id="129708925">
      <w:bodyDiv w:val="1"/>
      <w:marLeft w:val="0"/>
      <w:marRight w:val="0"/>
      <w:marTop w:val="0"/>
      <w:marBottom w:val="0"/>
      <w:divBdr>
        <w:top w:val="none" w:sz="0" w:space="0" w:color="auto"/>
        <w:left w:val="none" w:sz="0" w:space="0" w:color="auto"/>
        <w:bottom w:val="none" w:sz="0" w:space="0" w:color="auto"/>
        <w:right w:val="none" w:sz="0" w:space="0" w:color="auto"/>
      </w:divBdr>
    </w:div>
    <w:div w:id="181744948">
      <w:bodyDiv w:val="1"/>
      <w:marLeft w:val="0"/>
      <w:marRight w:val="0"/>
      <w:marTop w:val="0"/>
      <w:marBottom w:val="0"/>
      <w:divBdr>
        <w:top w:val="none" w:sz="0" w:space="0" w:color="auto"/>
        <w:left w:val="none" w:sz="0" w:space="0" w:color="auto"/>
        <w:bottom w:val="none" w:sz="0" w:space="0" w:color="auto"/>
        <w:right w:val="none" w:sz="0" w:space="0" w:color="auto"/>
      </w:divBdr>
    </w:div>
    <w:div w:id="274025546">
      <w:bodyDiv w:val="1"/>
      <w:marLeft w:val="0"/>
      <w:marRight w:val="0"/>
      <w:marTop w:val="0"/>
      <w:marBottom w:val="0"/>
      <w:divBdr>
        <w:top w:val="none" w:sz="0" w:space="0" w:color="auto"/>
        <w:left w:val="none" w:sz="0" w:space="0" w:color="auto"/>
        <w:bottom w:val="none" w:sz="0" w:space="0" w:color="auto"/>
        <w:right w:val="none" w:sz="0" w:space="0" w:color="auto"/>
      </w:divBdr>
    </w:div>
    <w:div w:id="314994931">
      <w:bodyDiv w:val="1"/>
      <w:marLeft w:val="0"/>
      <w:marRight w:val="0"/>
      <w:marTop w:val="0"/>
      <w:marBottom w:val="0"/>
      <w:divBdr>
        <w:top w:val="none" w:sz="0" w:space="0" w:color="auto"/>
        <w:left w:val="none" w:sz="0" w:space="0" w:color="auto"/>
        <w:bottom w:val="none" w:sz="0" w:space="0" w:color="auto"/>
        <w:right w:val="none" w:sz="0" w:space="0" w:color="auto"/>
      </w:divBdr>
    </w:div>
    <w:div w:id="569845786">
      <w:bodyDiv w:val="1"/>
      <w:marLeft w:val="0"/>
      <w:marRight w:val="0"/>
      <w:marTop w:val="0"/>
      <w:marBottom w:val="0"/>
      <w:divBdr>
        <w:top w:val="none" w:sz="0" w:space="0" w:color="auto"/>
        <w:left w:val="none" w:sz="0" w:space="0" w:color="auto"/>
        <w:bottom w:val="none" w:sz="0" w:space="0" w:color="auto"/>
        <w:right w:val="none" w:sz="0" w:space="0" w:color="auto"/>
      </w:divBdr>
    </w:div>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778718551">
      <w:bodyDiv w:val="1"/>
      <w:marLeft w:val="0"/>
      <w:marRight w:val="0"/>
      <w:marTop w:val="0"/>
      <w:marBottom w:val="0"/>
      <w:divBdr>
        <w:top w:val="none" w:sz="0" w:space="0" w:color="auto"/>
        <w:left w:val="none" w:sz="0" w:space="0" w:color="auto"/>
        <w:bottom w:val="none" w:sz="0" w:space="0" w:color="auto"/>
        <w:right w:val="none" w:sz="0" w:space="0" w:color="auto"/>
      </w:divBdr>
      <w:divsChild>
        <w:div w:id="17436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847063686">
      <w:bodyDiv w:val="1"/>
      <w:marLeft w:val="0"/>
      <w:marRight w:val="0"/>
      <w:marTop w:val="0"/>
      <w:marBottom w:val="0"/>
      <w:divBdr>
        <w:top w:val="none" w:sz="0" w:space="0" w:color="auto"/>
        <w:left w:val="none" w:sz="0" w:space="0" w:color="auto"/>
        <w:bottom w:val="none" w:sz="0" w:space="0" w:color="auto"/>
        <w:right w:val="none" w:sz="0" w:space="0" w:color="auto"/>
      </w:divBdr>
    </w:div>
    <w:div w:id="879711865">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070805813">
      <w:bodyDiv w:val="1"/>
      <w:marLeft w:val="0"/>
      <w:marRight w:val="0"/>
      <w:marTop w:val="0"/>
      <w:marBottom w:val="0"/>
      <w:divBdr>
        <w:top w:val="none" w:sz="0" w:space="0" w:color="auto"/>
        <w:left w:val="none" w:sz="0" w:space="0" w:color="auto"/>
        <w:bottom w:val="none" w:sz="0" w:space="0" w:color="auto"/>
        <w:right w:val="none" w:sz="0" w:space="0" w:color="auto"/>
      </w:divBdr>
    </w:div>
    <w:div w:id="1123815648">
      <w:bodyDiv w:val="1"/>
      <w:marLeft w:val="0"/>
      <w:marRight w:val="0"/>
      <w:marTop w:val="0"/>
      <w:marBottom w:val="0"/>
      <w:divBdr>
        <w:top w:val="none" w:sz="0" w:space="0" w:color="auto"/>
        <w:left w:val="none" w:sz="0" w:space="0" w:color="auto"/>
        <w:bottom w:val="none" w:sz="0" w:space="0" w:color="auto"/>
        <w:right w:val="none" w:sz="0" w:space="0" w:color="auto"/>
      </w:divBdr>
    </w:div>
    <w:div w:id="1143156409">
      <w:bodyDiv w:val="1"/>
      <w:marLeft w:val="0"/>
      <w:marRight w:val="0"/>
      <w:marTop w:val="0"/>
      <w:marBottom w:val="0"/>
      <w:divBdr>
        <w:top w:val="none" w:sz="0" w:space="0" w:color="auto"/>
        <w:left w:val="none" w:sz="0" w:space="0" w:color="auto"/>
        <w:bottom w:val="none" w:sz="0" w:space="0" w:color="auto"/>
        <w:right w:val="none" w:sz="0" w:space="0" w:color="auto"/>
      </w:divBdr>
    </w:div>
    <w:div w:id="1248003523">
      <w:bodyDiv w:val="1"/>
      <w:marLeft w:val="0"/>
      <w:marRight w:val="0"/>
      <w:marTop w:val="0"/>
      <w:marBottom w:val="0"/>
      <w:divBdr>
        <w:top w:val="none" w:sz="0" w:space="0" w:color="auto"/>
        <w:left w:val="none" w:sz="0" w:space="0" w:color="auto"/>
        <w:bottom w:val="none" w:sz="0" w:space="0" w:color="auto"/>
        <w:right w:val="none" w:sz="0" w:space="0" w:color="auto"/>
      </w:divBdr>
    </w:div>
    <w:div w:id="1291281339">
      <w:bodyDiv w:val="1"/>
      <w:marLeft w:val="0"/>
      <w:marRight w:val="0"/>
      <w:marTop w:val="0"/>
      <w:marBottom w:val="0"/>
      <w:divBdr>
        <w:top w:val="none" w:sz="0" w:space="0" w:color="auto"/>
        <w:left w:val="none" w:sz="0" w:space="0" w:color="auto"/>
        <w:bottom w:val="none" w:sz="0" w:space="0" w:color="auto"/>
        <w:right w:val="none" w:sz="0" w:space="0" w:color="auto"/>
      </w:divBdr>
    </w:div>
    <w:div w:id="1351445614">
      <w:bodyDiv w:val="1"/>
      <w:marLeft w:val="0"/>
      <w:marRight w:val="0"/>
      <w:marTop w:val="0"/>
      <w:marBottom w:val="0"/>
      <w:divBdr>
        <w:top w:val="none" w:sz="0" w:space="0" w:color="auto"/>
        <w:left w:val="none" w:sz="0" w:space="0" w:color="auto"/>
        <w:bottom w:val="none" w:sz="0" w:space="0" w:color="auto"/>
        <w:right w:val="none" w:sz="0" w:space="0" w:color="auto"/>
      </w:divBdr>
    </w:div>
    <w:div w:id="1425692006">
      <w:bodyDiv w:val="1"/>
      <w:marLeft w:val="0"/>
      <w:marRight w:val="0"/>
      <w:marTop w:val="0"/>
      <w:marBottom w:val="0"/>
      <w:divBdr>
        <w:top w:val="none" w:sz="0" w:space="0" w:color="auto"/>
        <w:left w:val="none" w:sz="0" w:space="0" w:color="auto"/>
        <w:bottom w:val="none" w:sz="0" w:space="0" w:color="auto"/>
        <w:right w:val="none" w:sz="0" w:space="0" w:color="auto"/>
      </w:divBdr>
    </w:div>
    <w:div w:id="1525093039">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7">
          <w:marLeft w:val="0"/>
          <w:marRight w:val="0"/>
          <w:marTop w:val="100"/>
          <w:marBottom w:val="100"/>
          <w:divBdr>
            <w:top w:val="single" w:sz="6" w:space="8" w:color="999999"/>
            <w:left w:val="single" w:sz="6" w:space="8" w:color="999999"/>
            <w:bottom w:val="single" w:sz="6" w:space="8" w:color="999999"/>
            <w:right w:val="single" w:sz="6" w:space="8" w:color="999999"/>
          </w:divBdr>
          <w:divsChild>
            <w:div w:id="47843117">
              <w:marLeft w:val="0"/>
              <w:marRight w:val="0"/>
              <w:marTop w:val="0"/>
              <w:marBottom w:val="0"/>
              <w:divBdr>
                <w:top w:val="none" w:sz="0" w:space="0" w:color="auto"/>
                <w:left w:val="none" w:sz="0" w:space="0" w:color="auto"/>
                <w:bottom w:val="none" w:sz="0" w:space="0" w:color="auto"/>
                <w:right w:val="none" w:sz="0" w:space="0" w:color="auto"/>
              </w:divBdr>
              <w:divsChild>
                <w:div w:id="1636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457">
          <w:marLeft w:val="0"/>
          <w:marRight w:val="0"/>
          <w:marTop w:val="150"/>
          <w:marBottom w:val="100"/>
          <w:divBdr>
            <w:top w:val="single" w:sz="6" w:space="8" w:color="000000"/>
            <w:left w:val="single" w:sz="6" w:space="8" w:color="000000"/>
            <w:bottom w:val="single" w:sz="6" w:space="8" w:color="000000"/>
            <w:right w:val="single" w:sz="6" w:space="8" w:color="000000"/>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1882476535">
      <w:bodyDiv w:val="1"/>
      <w:marLeft w:val="0"/>
      <w:marRight w:val="0"/>
      <w:marTop w:val="0"/>
      <w:marBottom w:val="0"/>
      <w:divBdr>
        <w:top w:val="none" w:sz="0" w:space="0" w:color="auto"/>
        <w:left w:val="none" w:sz="0" w:space="0" w:color="auto"/>
        <w:bottom w:val="none" w:sz="0" w:space="0" w:color="auto"/>
        <w:right w:val="none" w:sz="0" w:space="0" w:color="auto"/>
      </w:divBdr>
    </w:div>
    <w:div w:id="1946963241">
      <w:bodyDiv w:val="1"/>
      <w:marLeft w:val="0"/>
      <w:marRight w:val="0"/>
      <w:marTop w:val="0"/>
      <w:marBottom w:val="0"/>
      <w:divBdr>
        <w:top w:val="none" w:sz="0" w:space="0" w:color="auto"/>
        <w:left w:val="none" w:sz="0" w:space="0" w:color="auto"/>
        <w:bottom w:val="none" w:sz="0" w:space="0" w:color="auto"/>
        <w:right w:val="none" w:sz="0" w:space="0" w:color="auto"/>
      </w:divBdr>
    </w:div>
    <w:div w:id="2026398246">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2080D-2111-4BCC-85E8-2D61160B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7</cp:revision>
  <dcterms:created xsi:type="dcterms:W3CDTF">2014-06-20T17:55:00Z</dcterms:created>
  <dcterms:modified xsi:type="dcterms:W3CDTF">2018-09-05T18:29:00Z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